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583" w:type="pct"/>
        <w:tblInd w:w="-743" w:type="dxa"/>
        <w:tblLook w:val="04A0" w:firstRow="1" w:lastRow="0" w:firstColumn="1" w:lastColumn="0" w:noHBand="0" w:noVBand="1"/>
      </w:tblPr>
      <w:tblGrid>
        <w:gridCol w:w="2944"/>
        <w:gridCol w:w="3616"/>
        <w:gridCol w:w="3678"/>
        <w:gridCol w:w="5388"/>
      </w:tblGrid>
      <w:tr w:rsidR="005E7640" w:rsidTr="002E0BBB">
        <w:tc>
          <w:tcPr>
            <w:tcW w:w="5000" w:type="pct"/>
            <w:gridSpan w:val="4"/>
          </w:tcPr>
          <w:p w:rsidR="005E7640" w:rsidRPr="002E0BBB" w:rsidRDefault="002E0BBB" w:rsidP="002E0BBB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23"/>
                <w:szCs w:val="23"/>
              </w:rPr>
            </w:pPr>
            <w:r>
              <w:rPr>
                <w:rFonts w:ascii="ArialNarrow" w:hAnsi="ArialNarrow" w:cs="ArialNarrow"/>
                <w:color w:val="000000"/>
                <w:sz w:val="23"/>
                <w:szCs w:val="23"/>
              </w:rPr>
              <w:t>P</w:t>
            </w:r>
            <w:r w:rsidR="005E7640">
              <w:rPr>
                <w:rFonts w:ascii="ArialNarrow" w:hAnsi="ArialNarrow" w:cs="ArialNarrow"/>
                <w:color w:val="000000"/>
                <w:sz w:val="23"/>
                <w:szCs w:val="23"/>
              </w:rPr>
              <w:t>rogrammation</w:t>
            </w:r>
            <w:r>
              <w:rPr>
                <w:rFonts w:ascii="ArialNarrow" w:hAnsi="ArialNarrow" w:cs="ArialNarrow"/>
                <w:color w:val="000000"/>
                <w:sz w:val="23"/>
                <w:szCs w:val="23"/>
              </w:rPr>
              <w:t xml:space="preserve"> de cycle</w:t>
            </w:r>
            <w:r w:rsidR="005E7640">
              <w:rPr>
                <w:rFonts w:ascii="ArialNarrow" w:hAnsi="ArialNarrow" w:cs="ArialNarrow"/>
                <w:color w:val="000000"/>
                <w:sz w:val="23"/>
                <w:szCs w:val="23"/>
              </w:rPr>
              <w:t xml:space="preserve"> des apprentissages dans le </w:t>
            </w:r>
            <w:r w:rsidR="005E7640" w:rsidRPr="002E0BBB">
              <w:rPr>
                <w:rFonts w:ascii="ArialNarrow" w:hAnsi="ArialNarrow" w:cs="ArialNarrow"/>
                <w:sz w:val="23"/>
                <w:szCs w:val="23"/>
              </w:rPr>
              <w:t>domaine</w:t>
            </w:r>
            <w:r w:rsidRPr="002E0BBB">
              <w:rPr>
                <w:rFonts w:ascii="ArialNarrow" w:hAnsi="ArialNarrow" w:cs="ArialNarrow"/>
                <w:sz w:val="23"/>
                <w:szCs w:val="23"/>
              </w:rPr>
              <w:t xml:space="preserve"> </w:t>
            </w:r>
            <w:r w:rsidR="005E7640" w:rsidRPr="002E0BBB">
              <w:rPr>
                <w:rFonts w:ascii="ArialNarrow" w:hAnsi="ArialNarrow" w:cs="ArialNarrow"/>
                <w:sz w:val="23"/>
                <w:szCs w:val="23"/>
              </w:rPr>
              <w:t>Mobiliser le langage dans toutes ses dimensions</w:t>
            </w:r>
          </w:p>
        </w:tc>
      </w:tr>
      <w:tr w:rsidR="005E7640" w:rsidTr="002E0BBB">
        <w:tc>
          <w:tcPr>
            <w:tcW w:w="5000" w:type="pct"/>
            <w:gridSpan w:val="4"/>
          </w:tcPr>
          <w:p w:rsidR="005E7640" w:rsidRDefault="005E7640">
            <w:r>
              <w:rPr>
                <w:rFonts w:ascii="ArialNarrow" w:hAnsi="ArialNarrow" w:cs="ArialNarrow"/>
                <w:sz w:val="19"/>
                <w:szCs w:val="19"/>
              </w:rPr>
              <w:t>Objectifs : Oser entrer en communication / Comprendre et apprendre/ Echanger et réfléchir avec les autres</w:t>
            </w:r>
          </w:p>
        </w:tc>
      </w:tr>
      <w:tr w:rsidR="002E0BBB" w:rsidTr="002E0BBB">
        <w:tc>
          <w:tcPr>
            <w:tcW w:w="942" w:type="pct"/>
            <w:shd w:val="clear" w:color="auto" w:fill="F2F2F2" w:themeFill="background1" w:themeFillShade="F2"/>
          </w:tcPr>
          <w:p w:rsidR="005E7640" w:rsidRP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9"/>
                <w:szCs w:val="19"/>
              </w:rPr>
            </w:pPr>
            <w:r w:rsidRPr="005E7640">
              <w:rPr>
                <w:rFonts w:ascii="ArialNarrow" w:hAnsi="ArialNarrow" w:cs="ArialNarrow"/>
                <w:sz w:val="19"/>
                <w:szCs w:val="19"/>
              </w:rPr>
              <w:t>Attendus</w:t>
            </w:r>
          </w:p>
          <w:p w:rsidR="005E7640" w:rsidRDefault="005E7640" w:rsidP="005E7640">
            <w:r w:rsidRPr="005E7640">
              <w:rPr>
                <w:rFonts w:ascii="ArialNarrow" w:hAnsi="ArialNarrow" w:cs="ArialNarrow"/>
                <w:sz w:val="19"/>
                <w:szCs w:val="19"/>
              </w:rPr>
              <w:t>de fin de cycle</w:t>
            </w:r>
          </w:p>
        </w:tc>
        <w:tc>
          <w:tcPr>
            <w:tcW w:w="1157" w:type="pct"/>
            <w:shd w:val="clear" w:color="auto" w:fill="F2F2F2" w:themeFill="background1" w:themeFillShade="F2"/>
          </w:tcPr>
          <w:p w:rsidR="005E7640" w:rsidRPr="005E7640" w:rsidRDefault="005E7640" w:rsidP="005E7640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sz w:val="19"/>
                <w:szCs w:val="19"/>
              </w:rPr>
            </w:pPr>
            <w:r w:rsidRPr="005E7640">
              <w:rPr>
                <w:rFonts w:ascii="ArialNarrow" w:hAnsi="ArialNarrow" w:cs="ArialNarrow"/>
                <w:sz w:val="19"/>
                <w:szCs w:val="19"/>
              </w:rPr>
              <w:t>Situations avant quatre ans</w:t>
            </w:r>
          </w:p>
          <w:p w:rsidR="005E7640" w:rsidRDefault="005E7640" w:rsidP="005E7640"/>
        </w:tc>
        <w:tc>
          <w:tcPr>
            <w:tcW w:w="1177" w:type="pct"/>
            <w:shd w:val="clear" w:color="auto" w:fill="F2F2F2" w:themeFill="background1" w:themeFillShade="F2"/>
          </w:tcPr>
          <w:p w:rsidR="005E7640" w:rsidRDefault="005E7640" w:rsidP="005E7640">
            <w:pPr>
              <w:jc w:val="center"/>
            </w:pPr>
            <w:r>
              <w:t>Situations après quatre ans</w:t>
            </w:r>
          </w:p>
        </w:tc>
        <w:tc>
          <w:tcPr>
            <w:tcW w:w="1724" w:type="pct"/>
            <w:shd w:val="clear" w:color="auto" w:fill="F2F2F2" w:themeFill="background1" w:themeFillShade="F2"/>
          </w:tcPr>
          <w:p w:rsidR="005E7640" w:rsidRDefault="005E7640">
            <w:r>
              <w:t>Indicateurs de progrès (critères de réussite)</w:t>
            </w:r>
          </w:p>
        </w:tc>
      </w:tr>
      <w:tr w:rsidR="002E0BBB" w:rsidTr="002E0BBB">
        <w:tc>
          <w:tcPr>
            <w:tcW w:w="942" w:type="pct"/>
            <w:shd w:val="clear" w:color="auto" w:fill="F2F2F2" w:themeFill="background1" w:themeFillShade="F2"/>
          </w:tcPr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9"/>
                <w:szCs w:val="19"/>
              </w:rPr>
            </w:pPr>
            <w:r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  <w:t xml:space="preserve">Communiquer </w:t>
            </w:r>
            <w:r>
              <w:rPr>
                <w:rFonts w:ascii="ArialNarrow" w:hAnsi="ArialNarrow" w:cs="ArialNarrow"/>
                <w:color w:val="000000"/>
                <w:sz w:val="19"/>
                <w:szCs w:val="19"/>
              </w:rPr>
              <w:t>en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9"/>
                <w:szCs w:val="19"/>
              </w:rPr>
            </w:pPr>
            <w:r>
              <w:rPr>
                <w:rFonts w:ascii="ArialNarrow" w:hAnsi="ArialNarrow" w:cs="ArialNarrow"/>
                <w:color w:val="000000"/>
                <w:sz w:val="19"/>
                <w:szCs w:val="19"/>
              </w:rPr>
              <w:t>se faisant</w:t>
            </w:r>
          </w:p>
          <w:p w:rsidR="005E7640" w:rsidRDefault="005E7640" w:rsidP="005E7640">
            <w:r>
              <w:rPr>
                <w:rFonts w:ascii="ArialNarrow" w:hAnsi="ArialNarrow" w:cs="ArialNarrow"/>
                <w:color w:val="000000"/>
                <w:sz w:val="19"/>
                <w:szCs w:val="19"/>
              </w:rPr>
              <w:t>comprendre.</w:t>
            </w:r>
          </w:p>
        </w:tc>
        <w:tc>
          <w:tcPr>
            <w:tcW w:w="1157" w:type="pct"/>
          </w:tcPr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ordinaires: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régulières 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dans les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domaines d'apprentissages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5E7640" w:rsidRDefault="002E0BBB" w:rsidP="002E0BBB"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Projets spécifiques</w:t>
            </w:r>
          </w:p>
        </w:tc>
        <w:tc>
          <w:tcPr>
            <w:tcW w:w="1177" w:type="pct"/>
          </w:tcPr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ordinaires 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régulières 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dans les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domaines d'apprentissages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5E7640" w:rsidRDefault="002E0BBB" w:rsidP="002E0BBB"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Projets spécifiques</w:t>
            </w:r>
          </w:p>
        </w:tc>
        <w:tc>
          <w:tcPr>
            <w:tcW w:w="1724" w:type="pct"/>
          </w:tcPr>
          <w:p w:rsidR="005E7640" w:rsidRPr="002E0BBB" w:rsidRDefault="002E0BBB" w:rsidP="002E0BBB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339A6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339A66"/>
                <w:sz w:val="17"/>
                <w:szCs w:val="17"/>
              </w:rPr>
              <w:t>•</w:t>
            </w:r>
            <w:r w:rsidR="005E7640" w:rsidRPr="002E0BBB">
              <w:rPr>
                <w:rFonts w:ascii="ArialNarrow" w:hAnsi="ArialNarrow" w:cs="ArialNarrow"/>
                <w:color w:val="339A66"/>
                <w:sz w:val="17"/>
                <w:szCs w:val="17"/>
              </w:rPr>
              <w:t>participer à la tâche langagière en répétant les paroles d’</w:t>
            </w:r>
            <w:r w:rsidRPr="002E0BBB">
              <w:rPr>
                <w:rFonts w:ascii="ArialNarrow" w:hAnsi="ArialNarrow" w:cs="ArialNarrow"/>
                <w:color w:val="339A66"/>
                <w:sz w:val="17"/>
                <w:szCs w:val="17"/>
              </w:rPr>
              <w:t xml:space="preserve">un pair 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339A6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339A66"/>
                <w:sz w:val="17"/>
                <w:szCs w:val="17"/>
              </w:rPr>
              <w:t>• prendre la parole pour répondre à une question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339A6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339A66"/>
                <w:sz w:val="17"/>
                <w:szCs w:val="17"/>
              </w:rPr>
              <w:t>• quitter le regard de l’enseignant pour regarder son (ses) interlocuteur(s) ; parler pour être entendu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endosser des postures de locuteur/interlocuteur : accepter les tours de parole, attendre pour prendre la parole ; écouter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ses pairs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répéter, insister, transformer, adapter, reformuler son propos pour être entendu et compris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participer à la régulation de l’avancée du propos du groupe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coopérer en complétant, en ajoutant des éléments, en s’opposant aux propos de ses pairs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faire usage de son statut de locuteur/interlocuteur à l’intérieur du groupe par des régulations verbales des prises de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paroles accordées</w:t>
            </w:r>
          </w:p>
          <w:p w:rsidR="005E7640" w:rsidRDefault="005E7640" w:rsidP="005E7640"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• se distancier en comprenant et commençant à faire de l’humour</w:t>
            </w:r>
          </w:p>
        </w:tc>
      </w:tr>
      <w:tr w:rsidR="002E0BBB" w:rsidTr="002E0BBB">
        <w:tc>
          <w:tcPr>
            <w:tcW w:w="942" w:type="pct"/>
            <w:shd w:val="clear" w:color="auto" w:fill="F2F2F2" w:themeFill="background1" w:themeFillShade="F2"/>
          </w:tcPr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</w:pPr>
            <w:r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  <w:t>Pratiquer divers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</w:pPr>
            <w:r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  <w:t>usages du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9"/>
                <w:szCs w:val="19"/>
              </w:rPr>
            </w:pPr>
            <w:r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  <w:t xml:space="preserve">langage oral </w:t>
            </w:r>
            <w:r>
              <w:rPr>
                <w:rFonts w:ascii="ArialNarrow" w:hAnsi="ArialNarrow" w:cs="ArialNarrow"/>
                <w:color w:val="000000"/>
                <w:sz w:val="19"/>
                <w:szCs w:val="19"/>
              </w:rPr>
              <w:t>: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>raconter,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>décrire,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>évoquer,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>expliquer,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>questionner,</w:t>
            </w:r>
          </w:p>
          <w:p w:rsidR="005E7640" w:rsidRDefault="005E7640" w:rsidP="005E7640"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>discuter un point de vue</w:t>
            </w:r>
          </w:p>
        </w:tc>
        <w:tc>
          <w:tcPr>
            <w:tcW w:w="1157" w:type="pct"/>
          </w:tcPr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ordinaires: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régulières 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dans les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domaines d'apprentissages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5E7640" w:rsidRDefault="002E0BBB" w:rsidP="002E0BBB"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Projets spécifiques</w:t>
            </w:r>
          </w:p>
        </w:tc>
        <w:tc>
          <w:tcPr>
            <w:tcW w:w="1177" w:type="pct"/>
          </w:tcPr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ordinaires: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régulières 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dans les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domaines d'apprentissages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5E7640" w:rsidRDefault="002E0BBB" w:rsidP="002E0BBB"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Projets spécifiques</w:t>
            </w:r>
          </w:p>
        </w:tc>
        <w:tc>
          <w:tcPr>
            <w:tcW w:w="1724" w:type="pct"/>
          </w:tcPr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  <w:t>Utiliser le langage oral pour se construire les outils visant à expliquer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expliquer comment il opère en situation de réalisation : en énonçant quelques mots clés, en décrivant son action et/ou les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proofErr w:type="gramStart"/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manières</w:t>
            </w:r>
            <w:proofErr w:type="gramEnd"/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 xml:space="preserve"> ;en décrivant chacune des actions.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expliquer comment réaliser quelque chose après l’avoir effectué en s’appuyant sur des traces de l’activité en listant des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actions et/ou des manières de faire; en enchaînant le déroulement des actions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interpréter son activité au vu du résultat produit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• interpréter une réussite/ un échec en expliquant les causes ou en expliquant les conséquences d’une activité, de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l’utilisation d’un outil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• anticiper le résultat d’une action, d’un geste, d’une procédure.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  <w:t>Utiliser le langage oral pour se construire les outils visant à décrire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décrire en faisant la liste d’éléments constitutifs ; matériaux, matériels, propriétés, qualités...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• relater une succession d’événements organisés;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relater une succession d’actions pour décrire un parcours, une procédure, une technique...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relater une succession de lieux pour décrire un itinéraire, un déplacement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rapprocher par les points communs ou contraster par les points de différences ...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situer les uns par rapport aux autres les éléments composant une image, un motif, un objet pour donner à voir en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lastRenderedPageBreak/>
              <w:t>s’appuyant sur des photos, des dessins, des schématisations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• décrire pour anticiper une installation, une organisation.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  <w:t>Utiliser le langage oral pour se construire les outils visant à raconter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339A6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339A66"/>
                <w:sz w:val="17"/>
                <w:szCs w:val="17"/>
              </w:rPr>
              <w:t>raconter des actions vécues par le personnage central en manipulant le matériel à disposition;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339A6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339A66"/>
                <w:sz w:val="17"/>
                <w:szCs w:val="17"/>
              </w:rPr>
              <w:t>• raconter en faisant parler les personnages en utilisant des marottes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alterner récit et dialogues en introduisant correctement les dialogues et nommant la personne/personnage qu’il fait parler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enchainer les actions et les émotions des personnages pour retracer tout le scénario et l’intrigue de l’histoire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utiliser le système des temps approprié : imparfait, passé simple dans le récit.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• enchaîner judicieusement les phrases avec des connecteurs adaptés et variés;</w:t>
            </w:r>
          </w:p>
          <w:p w:rsidR="005E7640" w:rsidRDefault="005E7640" w:rsidP="005E7640"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• raconter une histoire en randonnée en inventant un nouvel épisode crédible à partir d’un nouveau personnage, ou d’un nouvel élément</w:t>
            </w:r>
          </w:p>
        </w:tc>
      </w:tr>
      <w:tr w:rsidR="005E7640" w:rsidTr="002E0BBB">
        <w:tc>
          <w:tcPr>
            <w:tcW w:w="942" w:type="pct"/>
          </w:tcPr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9"/>
                <w:szCs w:val="19"/>
              </w:rPr>
            </w:pPr>
            <w:r>
              <w:rPr>
                <w:rFonts w:ascii="ArialNarrow" w:hAnsi="ArialNarrow" w:cs="ArialNarrow"/>
                <w:color w:val="000000"/>
                <w:sz w:val="19"/>
                <w:szCs w:val="19"/>
              </w:rPr>
              <w:lastRenderedPageBreak/>
              <w:t>S’exprimer et se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19"/>
                <w:szCs w:val="19"/>
              </w:rPr>
            </w:pPr>
            <w:r>
              <w:rPr>
                <w:rFonts w:ascii="ArialNarrow" w:hAnsi="ArialNarrow" w:cs="ArialNarrow"/>
                <w:color w:val="000000"/>
                <w:sz w:val="19"/>
                <w:szCs w:val="19"/>
              </w:rPr>
              <w:t>faire comprendre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</w:pPr>
            <w:r>
              <w:rPr>
                <w:rFonts w:ascii="ArialNarrow" w:hAnsi="ArialNarrow" w:cs="ArialNarrow"/>
                <w:color w:val="000000"/>
                <w:sz w:val="19"/>
                <w:szCs w:val="19"/>
              </w:rPr>
              <w:t xml:space="preserve">dans </w:t>
            </w:r>
            <w:r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  <w:t>un langage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</w:pPr>
            <w:r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  <w:t>syntaxiquement</w:t>
            </w:r>
          </w:p>
          <w:p w:rsidR="005E7640" w:rsidRDefault="005E7640" w:rsidP="005E7640">
            <w:r>
              <w:rPr>
                <w:rFonts w:ascii="ArialNarrow-Bold" w:hAnsi="ArialNarrow-Bold" w:cs="ArialNarrow-Bold"/>
                <w:b/>
                <w:bCs/>
                <w:color w:val="DE0806"/>
                <w:sz w:val="19"/>
                <w:szCs w:val="19"/>
              </w:rPr>
              <w:t>correct et précis</w:t>
            </w:r>
          </w:p>
        </w:tc>
        <w:tc>
          <w:tcPr>
            <w:tcW w:w="1157" w:type="pct"/>
          </w:tcPr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ordinaires: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régulières 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dans les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domaines d'apprentissages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5E7640" w:rsidRDefault="002E0BBB" w:rsidP="002E0BBB"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Projets spécifiques</w:t>
            </w:r>
          </w:p>
        </w:tc>
        <w:tc>
          <w:tcPr>
            <w:tcW w:w="1177" w:type="pct"/>
          </w:tcPr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ordinaires: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régulières :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Situations dans les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domaines d'apprentissages</w:t>
            </w: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2E0BBB" w:rsidRDefault="002E0BBB" w:rsidP="002E0BBB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</w:pPr>
          </w:p>
          <w:p w:rsidR="005E7640" w:rsidRDefault="002E0BBB" w:rsidP="002E0BBB">
            <w:r>
              <w:rPr>
                <w:rFonts w:ascii="ArialNarrow-Bold" w:hAnsi="ArialNarrow-Bold" w:cs="ArialNarrow-Bold"/>
                <w:b/>
                <w:bCs/>
                <w:sz w:val="17"/>
                <w:szCs w:val="17"/>
              </w:rPr>
              <w:t>Projets spécifiques</w:t>
            </w:r>
          </w:p>
        </w:tc>
        <w:tc>
          <w:tcPr>
            <w:tcW w:w="1724" w:type="pct"/>
          </w:tcPr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  <w:t>Progression syntaxique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utiliser des « mots phrases »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• juxtaposer deux mots pour se faire comprendre;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• élaborer des phrases avec un groupe nominal simple et un groupe verbal simple ou structures simples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• élaborer des phrases déclaratives simples autour d’un groupe nominal et d’un groupe verbal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élaborer des phrases plus longues : avec expansion du groupe verbal, du groupe nominal;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DE0806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DE0806"/>
                <w:sz w:val="17"/>
                <w:szCs w:val="17"/>
              </w:rPr>
              <w:t>• élaborer des phrases complexes avec propositions subordonnées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7"/>
                <w:szCs w:val="17"/>
              </w:rPr>
              <w:t>Progression lexicale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s’appuyer beaucoup sur des verbes très fréquents et des pronoms pour s’exprimer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6411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6411"/>
                <w:sz w:val="17"/>
                <w:szCs w:val="17"/>
              </w:rPr>
              <w:t>• s’emparer du vocabulaire donné en classe et l’utiliser à bon escient dans les tâches langagières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00"/>
                <w:sz w:val="17"/>
                <w:szCs w:val="17"/>
              </w:rPr>
              <w:t xml:space="preserve">• </w:t>
            </w: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corriger, reprendre son propos pour remplacer un mot par un autre plus précis, plus expert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• employer un vocabulaire de base suffisamment développé pour être précis dans ses prises de parole et dans les activités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D5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0000D5"/>
                <w:sz w:val="17"/>
                <w:szCs w:val="17"/>
              </w:rPr>
              <w:t>ordinaires de la classe 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910000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910000"/>
                <w:sz w:val="17"/>
                <w:szCs w:val="17"/>
              </w:rPr>
              <w:t xml:space="preserve">• réutiliser dans un autre contexte les mots appris dans un </w:t>
            </w:r>
            <w:r w:rsidR="002E0BBB">
              <w:rPr>
                <w:rFonts w:ascii="ArialNarrow" w:hAnsi="ArialNarrow" w:cs="ArialNarrow"/>
                <w:color w:val="910000"/>
                <w:sz w:val="17"/>
                <w:szCs w:val="17"/>
              </w:rPr>
              <w:t>certain</w:t>
            </w:r>
            <w:r>
              <w:rPr>
                <w:rFonts w:ascii="ArialNarrow" w:hAnsi="ArialNarrow" w:cs="ArialNarrow"/>
                <w:color w:val="910000"/>
                <w:sz w:val="17"/>
                <w:szCs w:val="17"/>
              </w:rPr>
              <w:t xml:space="preserve"> contexte, en classe;</w:t>
            </w:r>
          </w:p>
          <w:p w:rsidR="005E7640" w:rsidRDefault="005E7640" w:rsidP="005E764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910000"/>
                <w:sz w:val="17"/>
                <w:szCs w:val="17"/>
              </w:rPr>
            </w:pPr>
            <w:r>
              <w:rPr>
                <w:rFonts w:ascii="ArialNarrow" w:hAnsi="ArialNarrow" w:cs="ArialNarrow"/>
                <w:color w:val="910000"/>
                <w:sz w:val="17"/>
                <w:szCs w:val="17"/>
              </w:rPr>
              <w:t>• utiliser régulièrement des adjectifs et des adverbes pour spécifier son propos ;</w:t>
            </w:r>
          </w:p>
          <w:p w:rsidR="005E7640" w:rsidRDefault="005E7640" w:rsidP="005E7640">
            <w:r>
              <w:rPr>
                <w:rFonts w:ascii="ArialNarrow" w:hAnsi="ArialNarrow" w:cs="ArialNarrow"/>
                <w:color w:val="910000"/>
                <w:sz w:val="17"/>
                <w:szCs w:val="17"/>
              </w:rPr>
              <w:t>• utiliser des connecteurs logiques, temporels</w:t>
            </w:r>
          </w:p>
        </w:tc>
      </w:tr>
    </w:tbl>
    <w:p w:rsidR="00CD20EF" w:rsidRDefault="00CD20EF" w:rsidP="00EA0A3A">
      <w:bookmarkStart w:id="0" w:name="_GoBack"/>
      <w:bookmarkEnd w:id="0"/>
    </w:p>
    <w:sectPr w:rsidR="00CD20EF" w:rsidSect="00EA0A3A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950" w:rsidRDefault="00B65950" w:rsidP="002E0BBB">
      <w:pPr>
        <w:spacing w:after="0" w:line="240" w:lineRule="auto"/>
      </w:pPr>
      <w:r>
        <w:separator/>
      </w:r>
    </w:p>
  </w:endnote>
  <w:endnote w:type="continuationSeparator" w:id="0">
    <w:p w:rsidR="00B65950" w:rsidRDefault="00B65950" w:rsidP="002E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BBB" w:rsidRDefault="002E0BBB">
    <w:pPr>
      <w:pStyle w:val="Pieddepage"/>
    </w:pPr>
    <w:r>
      <w:t xml:space="preserve">D’après un document de </w:t>
    </w:r>
    <w:proofErr w:type="spellStart"/>
    <w:proofErr w:type="gramStart"/>
    <w:r>
      <w:t>J.Guégano</w:t>
    </w:r>
    <w:proofErr w:type="spellEnd"/>
    <w:proofErr w:type="gramEnd"/>
    <w:r>
      <w:t xml:space="preserve"> CPD Maternelle 31</w:t>
    </w:r>
  </w:p>
  <w:p w:rsidR="002E0BBB" w:rsidRDefault="002E0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950" w:rsidRDefault="00B65950" w:rsidP="002E0BBB">
      <w:pPr>
        <w:spacing w:after="0" w:line="240" w:lineRule="auto"/>
      </w:pPr>
      <w:r>
        <w:separator/>
      </w:r>
    </w:p>
  </w:footnote>
  <w:footnote w:type="continuationSeparator" w:id="0">
    <w:p w:rsidR="00B65950" w:rsidRDefault="00B65950" w:rsidP="002E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799E"/>
    <w:multiLevelType w:val="hybridMultilevel"/>
    <w:tmpl w:val="DC9A86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40"/>
    <w:rsid w:val="002E0BBB"/>
    <w:rsid w:val="005E7640"/>
    <w:rsid w:val="00B65950"/>
    <w:rsid w:val="00BD1105"/>
    <w:rsid w:val="00CD20EF"/>
    <w:rsid w:val="00EA0A3A"/>
    <w:rsid w:val="00F9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79A6"/>
  <w15:docId w15:val="{D060F2E4-C303-4D20-86A6-F30C2EEF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0B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BBB"/>
  </w:style>
  <w:style w:type="paragraph" w:styleId="Pieddepage">
    <w:name w:val="footer"/>
    <w:basedOn w:val="Normal"/>
    <w:link w:val="PieddepageCar"/>
    <w:uiPriority w:val="99"/>
    <w:unhideWhenUsed/>
    <w:rsid w:val="002E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BBB"/>
  </w:style>
  <w:style w:type="paragraph" w:styleId="Textedebulles">
    <w:name w:val="Balloon Text"/>
    <w:basedOn w:val="Normal"/>
    <w:link w:val="TextedebullesCar"/>
    <w:uiPriority w:val="99"/>
    <w:semiHidden/>
    <w:unhideWhenUsed/>
    <w:rsid w:val="002E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Céline Olivier</cp:lastModifiedBy>
  <cp:revision>3</cp:revision>
  <dcterms:created xsi:type="dcterms:W3CDTF">2017-11-03T10:25:00Z</dcterms:created>
  <dcterms:modified xsi:type="dcterms:W3CDTF">2017-11-07T19:42:00Z</dcterms:modified>
</cp:coreProperties>
</file>